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B6" w:rsidRPr="00A81809" w:rsidRDefault="00161B52" w:rsidP="00A81809">
      <w:pPr>
        <w:spacing w:before="1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51E3B030" wp14:editId="26EAF236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:rsidR="002A6CB6" w:rsidRPr="00A5763C" w:rsidRDefault="00B93EF9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22</w:t>
      </w:r>
      <w:r w:rsidRPr="00B93EF9">
        <w:rPr>
          <w:rFonts w:ascii="Calibri" w:hAnsi="Calibri"/>
          <w:b/>
          <w:color w:val="4F81BD"/>
          <w:sz w:val="32"/>
          <w:szCs w:val="32"/>
          <w:vertAlign w:val="superscript"/>
        </w:rPr>
        <w:t>nd</w:t>
      </w:r>
      <w:r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6F27D7">
        <w:rPr>
          <w:rFonts w:ascii="Calibri" w:hAnsi="Calibri"/>
          <w:b/>
          <w:color w:val="4F81BD"/>
          <w:sz w:val="32"/>
          <w:szCs w:val="32"/>
        </w:rPr>
        <w:t>Session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>
        <w:rPr>
          <w:rFonts w:ascii="Calibri" w:hAnsi="Calibri"/>
          <w:b/>
          <w:color w:val="4F81BD"/>
          <w:sz w:val="32"/>
          <w:szCs w:val="32"/>
        </w:rPr>
        <w:t>ENAV22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The </w:t>
      </w:r>
      <w:r w:rsidR="00B93EF9">
        <w:rPr>
          <w:rFonts w:ascii="Calibri" w:hAnsi="Calibri"/>
        </w:rPr>
        <w:t>22</w:t>
      </w:r>
      <w:r w:rsidR="00B93EF9" w:rsidRPr="00B93EF9">
        <w:rPr>
          <w:rFonts w:ascii="Calibri" w:hAnsi="Calibri"/>
          <w:vertAlign w:val="superscript"/>
        </w:rPr>
        <w:t>nd</w:t>
      </w:r>
      <w:r w:rsidR="00B93EF9">
        <w:rPr>
          <w:rFonts w:ascii="Calibri" w:hAnsi="Calibri"/>
        </w:rPr>
        <w:t xml:space="preserve"> </w:t>
      </w:r>
      <w:r w:rsidR="006F27D7">
        <w:rPr>
          <w:rFonts w:ascii="Calibri" w:hAnsi="Calibri"/>
        </w:rPr>
        <w:t>session</w:t>
      </w:r>
      <w:r w:rsidRPr="00A5763C">
        <w:rPr>
          <w:rFonts w:ascii="Calibri" w:hAnsi="Calibri"/>
        </w:rPr>
        <w:t xml:space="preserve"> of the </w:t>
      </w:r>
      <w:r w:rsidR="00B93EF9">
        <w:rPr>
          <w:rFonts w:ascii="Calibri" w:hAnsi="Calibri"/>
          <w:b/>
          <w:bCs/>
        </w:rPr>
        <w:t xml:space="preserve">ENAV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 w:rsidR="00EC68B8">
        <w:rPr>
          <w:rFonts w:ascii="Calibri" w:hAnsi="Calibri"/>
        </w:rPr>
        <w:t>8</w:t>
      </w:r>
      <w:r w:rsidRPr="00A5763C">
        <w:rPr>
          <w:rFonts w:ascii="Calibri" w:hAnsi="Calibri"/>
        </w:rPr>
        <w:t xml:space="preserve"> – </w:t>
      </w:r>
      <w:r w:rsidR="00EC68B8">
        <w:rPr>
          <w:rFonts w:ascii="Calibri" w:hAnsi="Calibri"/>
        </w:rPr>
        <w:t>12</w:t>
      </w:r>
      <w:r w:rsidRPr="00A5763C"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Octo</w:t>
      </w:r>
      <w:r w:rsidR="00344A7D">
        <w:rPr>
          <w:rFonts w:ascii="Calibri" w:hAnsi="Calibri"/>
        </w:rPr>
        <w:t>ber</w:t>
      </w:r>
      <w:r w:rsidRPr="00A5763C">
        <w:rPr>
          <w:rFonts w:ascii="Calibri" w:hAnsi="Calibri"/>
        </w:rPr>
        <w:t xml:space="preserve"> 201</w:t>
      </w:r>
      <w:r w:rsidR="00FE4375">
        <w:rPr>
          <w:rFonts w:ascii="Calibri" w:hAnsi="Calibri"/>
        </w:rPr>
        <w:t>8</w:t>
      </w:r>
      <w:r w:rsidRPr="00A5763C">
        <w:rPr>
          <w:rFonts w:ascii="Calibri" w:hAnsi="Calibri"/>
        </w:rPr>
        <w:t xml:space="preserve">, at </w:t>
      </w:r>
      <w:r w:rsidR="003D19B6">
        <w:rPr>
          <w:rFonts w:ascii="Calibri" w:hAnsi="Calibri"/>
          <w:bCs/>
          <w:lang w:val="tr-TR"/>
        </w:rPr>
        <w:t>IALA, St. Germain en Laye, France</w:t>
      </w:r>
      <w:r w:rsidR="001F760F">
        <w:rPr>
          <w:rFonts w:ascii="Calibri" w:hAnsi="Calibri"/>
          <w:bCs/>
          <w:lang w:val="tr-TR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3D19B6"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EC68B8">
        <w:rPr>
          <w:rFonts w:ascii="Calibri" w:hAnsi="Calibri"/>
        </w:rPr>
        <w:t>8</w:t>
      </w:r>
      <w:r w:rsidRPr="00A5763C"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Octo</w:t>
      </w:r>
      <w:r w:rsidR="00344A7D">
        <w:rPr>
          <w:rFonts w:ascii="Calibri" w:hAnsi="Calibri"/>
        </w:rPr>
        <w:t>ber</w:t>
      </w:r>
      <w:r w:rsidRPr="00A5763C">
        <w:rPr>
          <w:rFonts w:ascii="Calibri" w:hAnsi="Calibri"/>
        </w:rPr>
        <w:t xml:space="preserve"> 201</w:t>
      </w:r>
      <w:r w:rsidR="00FE4375">
        <w:rPr>
          <w:rFonts w:ascii="Calibri" w:hAnsi="Calibri"/>
        </w:rPr>
        <w:t>8</w:t>
      </w:r>
      <w:r w:rsidRPr="00A5763C">
        <w:rPr>
          <w:rFonts w:ascii="Calibri" w:hAnsi="Calibri"/>
        </w:rPr>
        <w:t>, and the closing plenary will end at approximately 1300 on Friday</w:t>
      </w:r>
      <w:r>
        <w:rPr>
          <w:rFonts w:ascii="Calibri" w:hAnsi="Calibri"/>
        </w:rPr>
        <w:t xml:space="preserve"> </w:t>
      </w:r>
      <w:r w:rsidR="00EC68B8">
        <w:rPr>
          <w:rFonts w:ascii="Calibri" w:hAnsi="Calibri"/>
        </w:rPr>
        <w:t>12</w:t>
      </w:r>
      <w:r w:rsidRPr="00A5763C"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Octo</w:t>
      </w:r>
      <w:r w:rsidR="00344A7D">
        <w:rPr>
          <w:rFonts w:ascii="Calibri" w:hAnsi="Calibri"/>
        </w:rPr>
        <w:t>ber</w:t>
      </w:r>
      <w:r w:rsidRPr="00A5763C">
        <w:rPr>
          <w:rFonts w:ascii="Calibri" w:hAnsi="Calibri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EC68B8">
        <w:rPr>
          <w:rFonts w:ascii="Calibri" w:hAnsi="Calibri"/>
        </w:rPr>
        <w:t>8</w:t>
      </w:r>
      <w:r w:rsidR="003D19B6">
        <w:rPr>
          <w:rFonts w:ascii="Calibri" w:hAnsi="Calibri"/>
        </w:rPr>
        <w:t xml:space="preserve"> </w:t>
      </w:r>
      <w:r w:rsidR="00FE4375">
        <w:rPr>
          <w:rFonts w:ascii="Calibri" w:hAnsi="Calibri"/>
        </w:rPr>
        <w:t>Octo</w:t>
      </w:r>
      <w:r w:rsidR="00344A7D">
        <w:rPr>
          <w:rFonts w:ascii="Calibri" w:hAnsi="Calibri"/>
        </w:rPr>
        <w:t>ber</w:t>
      </w:r>
      <w:r w:rsidRPr="00A5763C">
        <w:rPr>
          <w:rFonts w:ascii="Calibri" w:hAnsi="Calibri"/>
        </w:rPr>
        <w:t>.</w:t>
      </w:r>
    </w:p>
    <w:p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Introduction</w:t>
      </w:r>
    </w:p>
    <w:p w:rsidR="00B01DC3" w:rsidRPr="00E61459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Theme="minorHAnsi" w:hAnsiTheme="minorHAnsi" w:cstheme="minorHAnsi"/>
        </w:rPr>
      </w:pPr>
      <w:r w:rsidRPr="00B01DC3">
        <w:rPr>
          <w:rFonts w:ascii="Calibri" w:hAnsi="Calibri"/>
          <w:color w:val="000000" w:themeColor="text1"/>
        </w:rPr>
        <w:t>Administration</w:t>
      </w:r>
      <w:r w:rsidRPr="00B01DC3">
        <w:rPr>
          <w:rFonts w:ascii="Calibri" w:hAnsi="Calibri"/>
        </w:rPr>
        <w:t xml:space="preserve"> and Safety Briefing</w:t>
      </w:r>
      <w:r w:rsidR="00B01DC3" w:rsidRPr="00B01DC3">
        <w:t xml:space="preserve"> </w:t>
      </w:r>
      <w:r w:rsidR="00E61459">
        <w:tab/>
      </w:r>
      <w:r w:rsidR="00E61459">
        <w:tab/>
      </w:r>
      <w:r w:rsidR="00E61459">
        <w:tab/>
      </w:r>
      <w:r w:rsidR="00E61459" w:rsidRPr="00E61459">
        <w:rPr>
          <w:rFonts w:asciiTheme="minorHAnsi" w:hAnsiTheme="minorHAnsi" w:cstheme="minorHAnsi"/>
        </w:rPr>
        <w:t>Secretary</w:t>
      </w:r>
    </w:p>
    <w:p w:rsidR="00B01DC3" w:rsidRPr="00B01DC3" w:rsidRDefault="00B01DC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B01DC3">
        <w:rPr>
          <w:rFonts w:ascii="Calibri" w:hAnsi="Calibri"/>
        </w:rPr>
        <w:t xml:space="preserve">Welcome </w:t>
      </w:r>
      <w:r w:rsidRPr="00B01DC3">
        <w:rPr>
          <w:rFonts w:asciiTheme="minorHAnsi" w:hAnsiTheme="minorHAnsi" w:cstheme="minorHAnsi"/>
          <w:color w:val="000000" w:themeColor="text1"/>
        </w:rPr>
        <w:t>from the Secretary-General/Deputy Secretary-General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Approval of agenda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Apologies and introductions</w:t>
      </w:r>
    </w:p>
    <w:p w:rsidR="002A6CB6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Programme for the week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action items from last meeting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 xml:space="preserve">Review of action items from </w:t>
      </w:r>
      <w:r w:rsidR="00B93EF9">
        <w:rPr>
          <w:rFonts w:ascii="Calibri" w:hAnsi="Calibri"/>
        </w:rPr>
        <w:t>ENAV21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 xml:space="preserve">Final Report from </w:t>
      </w:r>
      <w:r w:rsidR="00B93EF9">
        <w:rPr>
          <w:rFonts w:ascii="Calibri" w:hAnsi="Calibri"/>
        </w:rPr>
        <w:t>ENAV21</w:t>
      </w:r>
      <w:r w:rsidRPr="00A5763C">
        <w:rPr>
          <w:rFonts w:ascii="Calibri" w:hAnsi="Calibri"/>
        </w:rPr>
        <w:t xml:space="preserve"> - for reference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input papers</w:t>
      </w:r>
    </w:p>
    <w:p w:rsidR="005509D7" w:rsidRDefault="00B93EF9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ENAV</w:t>
      </w:r>
      <w:r w:rsidR="000027FA">
        <w:rPr>
          <w:rFonts w:ascii="Calibri" w:hAnsi="Calibri"/>
        </w:rPr>
        <w:t xml:space="preserve"> Committee related input</w:t>
      </w:r>
    </w:p>
    <w:p w:rsidR="00B43337" w:rsidRPr="00617CB3" w:rsidRDefault="00B43337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from other Committees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other bodies:</w:t>
      </w:r>
    </w:p>
    <w:p w:rsidR="001948F8" w:rsidRDefault="001948F8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19</w:t>
      </w:r>
      <w:r w:rsidRPr="001948F8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IALA Conference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 xml:space="preserve">IALA Council </w:t>
      </w:r>
    </w:p>
    <w:p w:rsidR="00AD6095" w:rsidRDefault="002A6CB6" w:rsidP="00844CD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Policy Advisory Panel</w:t>
      </w:r>
      <w:r w:rsidR="00AD6095">
        <w:rPr>
          <w:rFonts w:ascii="Calibri" w:hAnsi="Calibri"/>
        </w:rPr>
        <w:t xml:space="preserve"> (PAP)</w:t>
      </w:r>
      <w:r w:rsidR="00844CD2">
        <w:rPr>
          <w:rFonts w:ascii="Calibri" w:hAnsi="Calibri"/>
        </w:rPr>
        <w:t xml:space="preserve"> </w:t>
      </w:r>
    </w:p>
    <w:p w:rsidR="006C6146" w:rsidRDefault="006C6146" w:rsidP="00844CD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E-Navigation Underway</w:t>
      </w:r>
    </w:p>
    <w:p w:rsidR="006C6146" w:rsidRPr="00A81809" w:rsidRDefault="006C6146" w:rsidP="006C6146">
      <w:pPr>
        <w:pStyle w:val="Agenda2"/>
        <w:numPr>
          <w:ilvl w:val="2"/>
          <w:numId w:val="20"/>
        </w:numPr>
        <w:jc w:val="left"/>
        <w:rPr>
          <w:rFonts w:ascii="Calibri" w:hAnsi="Calibri"/>
          <w:sz w:val="20"/>
          <w:szCs w:val="20"/>
        </w:rPr>
      </w:pPr>
      <w:r w:rsidRPr="00A81809">
        <w:rPr>
          <w:rFonts w:ascii="Calibri" w:hAnsi="Calibri"/>
          <w:sz w:val="20"/>
          <w:szCs w:val="20"/>
        </w:rPr>
        <w:t xml:space="preserve">   International</w:t>
      </w:r>
    </w:p>
    <w:p w:rsidR="006C6146" w:rsidRPr="00A81809" w:rsidRDefault="006C6146" w:rsidP="006C6146">
      <w:pPr>
        <w:pStyle w:val="Agenda2"/>
        <w:numPr>
          <w:ilvl w:val="2"/>
          <w:numId w:val="20"/>
        </w:numPr>
        <w:jc w:val="left"/>
        <w:rPr>
          <w:rFonts w:ascii="Calibri" w:hAnsi="Calibri"/>
          <w:sz w:val="20"/>
          <w:szCs w:val="20"/>
        </w:rPr>
      </w:pPr>
      <w:r w:rsidRPr="00A81809">
        <w:rPr>
          <w:rFonts w:ascii="Calibri" w:hAnsi="Calibri"/>
          <w:sz w:val="20"/>
          <w:szCs w:val="20"/>
        </w:rPr>
        <w:t xml:space="preserve">   North America</w:t>
      </w:r>
    </w:p>
    <w:p w:rsidR="006C6146" w:rsidRPr="00A81809" w:rsidRDefault="006C6146" w:rsidP="006C6146">
      <w:pPr>
        <w:pStyle w:val="Agenda2"/>
        <w:numPr>
          <w:ilvl w:val="2"/>
          <w:numId w:val="20"/>
        </w:numPr>
        <w:jc w:val="left"/>
        <w:rPr>
          <w:rFonts w:ascii="Calibri" w:hAnsi="Calibri"/>
          <w:sz w:val="20"/>
          <w:szCs w:val="20"/>
        </w:rPr>
      </w:pPr>
      <w:r w:rsidRPr="00A81809">
        <w:rPr>
          <w:rFonts w:ascii="Calibri" w:hAnsi="Calibri"/>
          <w:sz w:val="20"/>
          <w:szCs w:val="20"/>
        </w:rPr>
        <w:t xml:space="preserve">   Asia Pacific</w:t>
      </w:r>
    </w:p>
    <w:p w:rsidR="006C6146" w:rsidRDefault="006C614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Seminar on Arctic Navigation</w:t>
      </w:r>
    </w:p>
    <w:p w:rsidR="003A386F" w:rsidRDefault="009C7C08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IMO</w:t>
      </w:r>
    </w:p>
    <w:p w:rsidR="00D6351B" w:rsidRDefault="00D6351B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IMO/IHO HGDM </w:t>
      </w:r>
    </w:p>
    <w:p w:rsidR="00793BA2" w:rsidRDefault="00793BA2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IHO</w:t>
      </w:r>
    </w:p>
    <w:p w:rsidR="00DF59A2" w:rsidRDefault="00DF59A2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EfficienSea2</w:t>
      </w:r>
    </w:p>
    <w:p w:rsidR="00A81809" w:rsidRDefault="00A81809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ITU</w:t>
      </w:r>
    </w:p>
    <w:p w:rsidR="00AC2161" w:rsidRDefault="00AC2161" w:rsidP="00AC2161">
      <w:pPr>
        <w:pStyle w:val="Agenda2"/>
        <w:numPr>
          <w:ilvl w:val="0"/>
          <w:numId w:val="0"/>
        </w:numPr>
        <w:ind w:left="567"/>
        <w:jc w:val="left"/>
        <w:rPr>
          <w:rFonts w:ascii="Calibri" w:hAnsi="Calibri"/>
        </w:rPr>
      </w:pP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lastRenderedPageBreak/>
        <w:t>Reports from rapporteurs</w:t>
      </w:r>
    </w:p>
    <w:p w:rsidR="007C64E9" w:rsidRDefault="007C64E9" w:rsidP="007C64E9">
      <w:pPr>
        <w:pStyle w:val="Agenda1"/>
        <w:tabs>
          <w:tab w:val="clear" w:pos="567"/>
        </w:tabs>
        <w:ind w:firstLine="0"/>
        <w:rPr>
          <w:rFonts w:ascii="Calibri" w:hAnsi="Calibri"/>
        </w:rPr>
      </w:pPr>
      <w:r>
        <w:rPr>
          <w:rFonts w:ascii="Calibri" w:hAnsi="Calibri"/>
        </w:rPr>
        <w:t>5.1</w:t>
      </w:r>
      <w:r>
        <w:rPr>
          <w:rFonts w:ascii="Calibri" w:hAnsi="Calibri"/>
        </w:rPr>
        <w:tab/>
      </w:r>
      <w:r w:rsidR="00D6351B">
        <w:rPr>
          <w:rFonts w:ascii="Calibri" w:hAnsi="Calibri"/>
        </w:rPr>
        <w:t>Nomination of Rapporteurs</w:t>
      </w:r>
    </w:p>
    <w:p w:rsidR="00996CF7" w:rsidRDefault="002A6CB6" w:rsidP="00996CF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 xml:space="preserve">Presentations </w:t>
      </w:r>
    </w:p>
    <w:p w:rsidR="00996CF7" w:rsidRDefault="00996CF7" w:rsidP="00996CF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European Maritime Big Data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8C2B61" w:rsidRPr="008C2B61">
        <w:rPr>
          <w:rFonts w:asciiTheme="minorHAnsi" w:hAnsiTheme="minorHAnsi" w:cstheme="minorHAnsi"/>
        </w:rPr>
        <w:t>Waldo Kleynhans</w:t>
      </w:r>
    </w:p>
    <w:p w:rsidR="007F69FE" w:rsidRDefault="007F69FE" w:rsidP="00996CF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 w:rsidRPr="007F69FE">
        <w:rPr>
          <w:rFonts w:asciiTheme="minorHAnsi" w:hAnsiTheme="minorHAnsi" w:cstheme="minorHAnsi"/>
        </w:rPr>
        <w:t>Maritime Messaging Service (MMS)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F69FE">
        <w:rPr>
          <w:rFonts w:asciiTheme="minorHAnsi" w:hAnsiTheme="minorHAnsi" w:cstheme="minorHAnsi"/>
        </w:rPr>
        <w:t xml:space="preserve">Park </w:t>
      </w:r>
      <w:proofErr w:type="spellStart"/>
      <w:r w:rsidRPr="007F69FE">
        <w:rPr>
          <w:rFonts w:asciiTheme="minorHAnsi" w:hAnsiTheme="minorHAnsi" w:cstheme="minorHAnsi"/>
        </w:rPr>
        <w:t>Jin</w:t>
      </w:r>
      <w:proofErr w:type="spellEnd"/>
      <w:r w:rsidRPr="007F69FE">
        <w:rPr>
          <w:rFonts w:asciiTheme="minorHAnsi" w:hAnsiTheme="minorHAnsi" w:cstheme="minorHAnsi"/>
        </w:rPr>
        <w:t xml:space="preserve"> </w:t>
      </w:r>
      <w:proofErr w:type="spellStart"/>
      <w:r w:rsidRPr="007F69FE">
        <w:rPr>
          <w:rFonts w:asciiTheme="minorHAnsi" w:hAnsiTheme="minorHAnsi" w:cstheme="minorHAnsi"/>
        </w:rPr>
        <w:t>Hyoung</w:t>
      </w:r>
      <w:proofErr w:type="spellEnd"/>
    </w:p>
    <w:p w:rsidR="00DC679E" w:rsidRDefault="00DE1D7B" w:rsidP="00996CF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Japan’s consideration on </w:t>
      </w:r>
      <w:r w:rsidR="00DC679E">
        <w:rPr>
          <w:rFonts w:asciiTheme="minorHAnsi" w:hAnsiTheme="minorHAnsi" w:cstheme="minorHAnsi"/>
        </w:rPr>
        <w:t>VDES</w:t>
      </w:r>
      <w:r w:rsidR="00DC679E">
        <w:rPr>
          <w:rFonts w:asciiTheme="minorHAnsi" w:hAnsiTheme="minorHAnsi" w:cstheme="minorHAnsi"/>
        </w:rPr>
        <w:tab/>
      </w:r>
      <w:r w:rsidR="00DC679E">
        <w:rPr>
          <w:rFonts w:asciiTheme="minorHAnsi" w:hAnsiTheme="minorHAnsi" w:cstheme="minorHAnsi"/>
        </w:rPr>
        <w:tab/>
      </w:r>
      <w:r w:rsidR="00DC679E">
        <w:rPr>
          <w:rFonts w:asciiTheme="minorHAnsi" w:hAnsiTheme="minorHAnsi" w:cstheme="minorHAnsi"/>
        </w:rPr>
        <w:tab/>
      </w:r>
      <w:r w:rsidR="00DC679E">
        <w:rPr>
          <w:rFonts w:asciiTheme="minorHAnsi" w:hAnsiTheme="minorHAnsi" w:cstheme="minorHAnsi"/>
        </w:rPr>
        <w:tab/>
      </w:r>
      <w:r w:rsidR="00090921">
        <w:rPr>
          <w:rFonts w:asciiTheme="minorHAnsi" w:hAnsiTheme="minorHAnsi" w:cstheme="minorHAnsi"/>
        </w:rPr>
        <w:t xml:space="preserve">Yu </w:t>
      </w:r>
      <w:proofErr w:type="spellStart"/>
      <w:r w:rsidR="00090921">
        <w:rPr>
          <w:rFonts w:asciiTheme="minorHAnsi" w:hAnsiTheme="minorHAnsi" w:cstheme="minorHAnsi"/>
        </w:rPr>
        <w:t>Nemoto</w:t>
      </w:r>
      <w:proofErr w:type="spellEnd"/>
    </w:p>
    <w:p w:rsidR="00DE1D7B" w:rsidRDefault="00DE1D7B" w:rsidP="00996CF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Ship-borne VDES development Singapore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Dr Peng </w:t>
      </w:r>
      <w:proofErr w:type="spellStart"/>
      <w:r>
        <w:rPr>
          <w:rFonts w:asciiTheme="minorHAnsi" w:hAnsiTheme="minorHAnsi" w:cstheme="minorHAnsi"/>
        </w:rPr>
        <w:t>Xiaoming</w:t>
      </w:r>
      <w:proofErr w:type="spellEnd"/>
    </w:p>
    <w:p w:rsidR="00DE1D7B" w:rsidRDefault="00DE1D7B" w:rsidP="00996CF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ENAV23 meeting in Singapore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94A93">
        <w:rPr>
          <w:rFonts w:asciiTheme="minorHAnsi" w:hAnsiTheme="minorHAnsi" w:cstheme="minorHAnsi"/>
        </w:rPr>
        <w:t>David Foo</w:t>
      </w:r>
      <w:bookmarkStart w:id="1" w:name="_GoBack"/>
      <w:bookmarkEnd w:id="1"/>
    </w:p>
    <w:p w:rsidR="003836B1" w:rsidRDefault="003836B1" w:rsidP="00996CF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3GPP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John Meredith</w:t>
      </w:r>
    </w:p>
    <w:p w:rsidR="003159D9" w:rsidRDefault="003159D9" w:rsidP="00996CF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S-211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Michael Bergmann</w:t>
      </w:r>
    </w:p>
    <w:p w:rsidR="003159D9" w:rsidRPr="003159D9" w:rsidRDefault="003159D9" w:rsidP="003159D9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WWA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(Friday plenary)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Omar Frits Eriksson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A5763C">
        <w:rPr>
          <w:rFonts w:ascii="Calibri" w:hAnsi="Calibri"/>
        </w:rPr>
        <w:t>Establish Working Groups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WG1 </w:t>
      </w:r>
      <w:r w:rsidR="00EC68B8">
        <w:rPr>
          <w:rFonts w:ascii="Calibri" w:hAnsi="Calibri"/>
        </w:rPr>
        <w:t>–</w:t>
      </w:r>
      <w:r>
        <w:rPr>
          <w:rFonts w:ascii="Calibri" w:hAnsi="Calibri"/>
        </w:rPr>
        <w:t xml:space="preserve"> </w:t>
      </w:r>
      <w:r w:rsidR="00EC68B8">
        <w:rPr>
          <w:rFonts w:ascii="Calibri" w:hAnsi="Calibri"/>
        </w:rPr>
        <w:t>Digital Information System</w:t>
      </w:r>
      <w:r w:rsidRPr="00A5763C">
        <w:rPr>
          <w:rFonts w:ascii="Calibri" w:hAnsi="Calibri"/>
        </w:rPr>
        <w:t xml:space="preserve"> 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WG2 </w:t>
      </w:r>
      <w:r w:rsidR="00EC68B8">
        <w:rPr>
          <w:rFonts w:ascii="Calibri" w:hAnsi="Calibri"/>
        </w:rPr>
        <w:t>–</w:t>
      </w:r>
      <w:r>
        <w:rPr>
          <w:rFonts w:ascii="Calibri" w:hAnsi="Calibri"/>
        </w:rPr>
        <w:t xml:space="preserve"> </w:t>
      </w:r>
      <w:r w:rsidR="00EC68B8">
        <w:rPr>
          <w:rFonts w:ascii="Calibri" w:hAnsi="Calibri"/>
        </w:rPr>
        <w:t>Digital Communication System</w:t>
      </w:r>
      <w:r w:rsidRPr="00A5763C">
        <w:rPr>
          <w:rFonts w:ascii="Calibri" w:hAnsi="Calibri"/>
        </w:rPr>
        <w:t xml:space="preserve"> 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WG3 </w:t>
      </w:r>
      <w:r w:rsidR="00EC68B8">
        <w:rPr>
          <w:rFonts w:ascii="Calibri" w:hAnsi="Calibri"/>
        </w:rPr>
        <w:t>–</w:t>
      </w:r>
      <w:r>
        <w:rPr>
          <w:rFonts w:ascii="Calibri" w:hAnsi="Calibri"/>
        </w:rPr>
        <w:t xml:space="preserve"> </w:t>
      </w:r>
      <w:r w:rsidR="00EC68B8">
        <w:rPr>
          <w:rFonts w:ascii="Calibri" w:hAnsi="Calibri"/>
        </w:rPr>
        <w:t>Emerging Digital Technology</w:t>
      </w:r>
    </w:p>
    <w:p w:rsidR="008B2019" w:rsidRDefault="008B2019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Work Programme</w:t>
      </w:r>
      <w:r w:rsidR="001948F8">
        <w:rPr>
          <w:rFonts w:ascii="Calibri" w:hAnsi="Calibri"/>
        </w:rPr>
        <w:t xml:space="preserve"> (2018 - 2022)</w:t>
      </w:r>
    </w:p>
    <w:p w:rsidR="001948F8" w:rsidRDefault="001948F8" w:rsidP="001948F8">
      <w:pPr>
        <w:pStyle w:val="Agenda1"/>
        <w:tabs>
          <w:tab w:val="clear" w:pos="567"/>
        </w:tabs>
        <w:ind w:left="0" w:firstLine="0"/>
        <w:rPr>
          <w:rFonts w:ascii="Calibri" w:hAnsi="Calibri"/>
        </w:rPr>
      </w:pP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output and working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Output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Working papers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Any Other Business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 xml:space="preserve">Review of session report 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Date and venue of next meeting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Close of the meeting</w:t>
      </w:r>
    </w:p>
    <w:p w:rsidR="002A6CB6" w:rsidRDefault="002A6CB6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sectPr w:rsidR="00344A7D" w:rsidSect="00CF44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F10" w:rsidRDefault="00537F10" w:rsidP="000F23DA">
      <w:r>
        <w:separator/>
      </w:r>
    </w:p>
  </w:endnote>
  <w:endnote w:type="continuationSeparator" w:id="0">
    <w:p w:rsidR="00537F10" w:rsidRDefault="00537F10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D7" w:rsidRDefault="00DB15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EC68B8">
      <w:rPr>
        <w:rFonts w:ascii="Calibri" w:hAnsi="Calibri"/>
      </w:rPr>
      <w:t>10 September</w:t>
    </w:r>
    <w:r w:rsidRPr="00A5763C">
      <w:rPr>
        <w:rFonts w:ascii="Calibri" w:hAnsi="Calibri"/>
      </w:rPr>
      <w:t xml:space="preserve"> 201</w:t>
    </w:r>
    <w:r w:rsidR="00EC68B8">
      <w:rPr>
        <w:rFonts w:ascii="Calibri" w:hAnsi="Calibri"/>
      </w:rPr>
      <w:t>8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>201</w:t>
    </w:r>
    <w:r w:rsidR="00EC68B8">
      <w:rPr>
        <w:rFonts w:asciiTheme="minorHAnsi" w:hAnsiTheme="minorHAnsi" w:cstheme="minorHAnsi"/>
        <w:sz w:val="16"/>
        <w:szCs w:val="16"/>
      </w:rPr>
      <w:t>8</w:t>
    </w:r>
    <w:r w:rsidR="00DB15D7">
      <w:rPr>
        <w:rFonts w:asciiTheme="minorHAnsi" w:hAnsiTheme="minorHAnsi" w:cstheme="minorHAnsi"/>
        <w:sz w:val="16"/>
        <w:szCs w:val="16"/>
      </w:rPr>
      <w:t>1002</w:t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D7" w:rsidRDefault="00DB1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F10" w:rsidRDefault="00537F10" w:rsidP="000F23DA">
      <w:r>
        <w:separator/>
      </w:r>
    </w:p>
  </w:footnote>
  <w:footnote w:type="continuationSeparator" w:id="0">
    <w:p w:rsidR="00537F10" w:rsidRDefault="00537F10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D7" w:rsidRDefault="00DB15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ENAV22</w:t>
    </w:r>
    <w:r w:rsidRPr="00A5763C">
      <w:rPr>
        <w:rFonts w:ascii="Calibri" w:hAnsi="Calibri"/>
      </w:rPr>
      <w:t>-1.</w:t>
    </w:r>
    <w:r w:rsidR="006A20B8">
      <w:rPr>
        <w:rFonts w:ascii="Calibri" w:hAnsi="Calibri"/>
      </w:rPr>
      <w:t>3</w:t>
    </w:r>
    <w:r w:rsidRPr="00A5763C">
      <w:rPr>
        <w:rFonts w:ascii="Calibri" w:hAnsi="Calibri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D7" w:rsidRDefault="00DB15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E05"/>
    <w:rsid w:val="00062C96"/>
    <w:rsid w:val="000644FE"/>
    <w:rsid w:val="00067063"/>
    <w:rsid w:val="00070C13"/>
    <w:rsid w:val="0007562E"/>
    <w:rsid w:val="0008176E"/>
    <w:rsid w:val="00082DEF"/>
    <w:rsid w:val="00083DAB"/>
    <w:rsid w:val="00084F33"/>
    <w:rsid w:val="00090921"/>
    <w:rsid w:val="000A0DFD"/>
    <w:rsid w:val="000A51FE"/>
    <w:rsid w:val="000A599B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1B52"/>
    <w:rsid w:val="00164452"/>
    <w:rsid w:val="00177F4D"/>
    <w:rsid w:val="001860A2"/>
    <w:rsid w:val="00187E34"/>
    <w:rsid w:val="00193BC4"/>
    <w:rsid w:val="001948F8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528A"/>
    <w:rsid w:val="001F704E"/>
    <w:rsid w:val="001F760F"/>
    <w:rsid w:val="001F7F96"/>
    <w:rsid w:val="002125B0"/>
    <w:rsid w:val="00212667"/>
    <w:rsid w:val="00215C9F"/>
    <w:rsid w:val="0021664D"/>
    <w:rsid w:val="0022327E"/>
    <w:rsid w:val="00233D65"/>
    <w:rsid w:val="00235F8A"/>
    <w:rsid w:val="00242956"/>
    <w:rsid w:val="00243228"/>
    <w:rsid w:val="00251483"/>
    <w:rsid w:val="0027535F"/>
    <w:rsid w:val="00286431"/>
    <w:rsid w:val="0028751F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301568"/>
    <w:rsid w:val="003159D9"/>
    <w:rsid w:val="00331F07"/>
    <w:rsid w:val="00343E48"/>
    <w:rsid w:val="00344A7D"/>
    <w:rsid w:val="00356CD0"/>
    <w:rsid w:val="00375A53"/>
    <w:rsid w:val="00380DAF"/>
    <w:rsid w:val="003836B1"/>
    <w:rsid w:val="0038529C"/>
    <w:rsid w:val="00390EA4"/>
    <w:rsid w:val="003911F5"/>
    <w:rsid w:val="00393D2B"/>
    <w:rsid w:val="003A386F"/>
    <w:rsid w:val="003B28F5"/>
    <w:rsid w:val="003B6BD4"/>
    <w:rsid w:val="003B7B7D"/>
    <w:rsid w:val="003C25FD"/>
    <w:rsid w:val="003C31AA"/>
    <w:rsid w:val="003C7A2A"/>
    <w:rsid w:val="003D19B6"/>
    <w:rsid w:val="003E2B06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806CF"/>
    <w:rsid w:val="00481E92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6312"/>
    <w:rsid w:val="00576852"/>
    <w:rsid w:val="00587FE3"/>
    <w:rsid w:val="00594A93"/>
    <w:rsid w:val="005958E0"/>
    <w:rsid w:val="005A1D5C"/>
    <w:rsid w:val="005A6C66"/>
    <w:rsid w:val="005B32A3"/>
    <w:rsid w:val="005B7D4E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A20B8"/>
    <w:rsid w:val="006A58E7"/>
    <w:rsid w:val="006A630C"/>
    <w:rsid w:val="006B5D1C"/>
    <w:rsid w:val="006C3D99"/>
    <w:rsid w:val="006C6146"/>
    <w:rsid w:val="006D3789"/>
    <w:rsid w:val="006E04FC"/>
    <w:rsid w:val="006E63DE"/>
    <w:rsid w:val="006E79C5"/>
    <w:rsid w:val="006F27D7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93BA2"/>
    <w:rsid w:val="007A0BFF"/>
    <w:rsid w:val="007A2766"/>
    <w:rsid w:val="007A3FE3"/>
    <w:rsid w:val="007B7E13"/>
    <w:rsid w:val="007C60E5"/>
    <w:rsid w:val="007C64E9"/>
    <w:rsid w:val="007D3321"/>
    <w:rsid w:val="007F157E"/>
    <w:rsid w:val="007F5251"/>
    <w:rsid w:val="007F57D9"/>
    <w:rsid w:val="007F69FE"/>
    <w:rsid w:val="007F6E4C"/>
    <w:rsid w:val="00816679"/>
    <w:rsid w:val="008218DE"/>
    <w:rsid w:val="0082480E"/>
    <w:rsid w:val="00841D60"/>
    <w:rsid w:val="008435B9"/>
    <w:rsid w:val="00844CD2"/>
    <w:rsid w:val="0085654D"/>
    <w:rsid w:val="00857A3D"/>
    <w:rsid w:val="00861160"/>
    <w:rsid w:val="008678C6"/>
    <w:rsid w:val="00871C0A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C2B61"/>
    <w:rsid w:val="008D1694"/>
    <w:rsid w:val="008E4B50"/>
    <w:rsid w:val="008E719F"/>
    <w:rsid w:val="008F142E"/>
    <w:rsid w:val="008F3B5B"/>
    <w:rsid w:val="008F7A00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96CF7"/>
    <w:rsid w:val="009A0BA1"/>
    <w:rsid w:val="009A78BA"/>
    <w:rsid w:val="009C01D7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635D6"/>
    <w:rsid w:val="00A66E5B"/>
    <w:rsid w:val="00A71887"/>
    <w:rsid w:val="00A81809"/>
    <w:rsid w:val="00A84816"/>
    <w:rsid w:val="00A92BFC"/>
    <w:rsid w:val="00A93AED"/>
    <w:rsid w:val="00AA713B"/>
    <w:rsid w:val="00AB1D47"/>
    <w:rsid w:val="00AB3A51"/>
    <w:rsid w:val="00AB6F43"/>
    <w:rsid w:val="00AC2161"/>
    <w:rsid w:val="00AD6095"/>
    <w:rsid w:val="00AE0D5D"/>
    <w:rsid w:val="00AE2142"/>
    <w:rsid w:val="00AE6137"/>
    <w:rsid w:val="00B01DC3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614"/>
    <w:rsid w:val="00B8341C"/>
    <w:rsid w:val="00B864A5"/>
    <w:rsid w:val="00B869FB"/>
    <w:rsid w:val="00B90A27"/>
    <w:rsid w:val="00B93EF9"/>
    <w:rsid w:val="00B9554D"/>
    <w:rsid w:val="00B9728D"/>
    <w:rsid w:val="00BB0D94"/>
    <w:rsid w:val="00BB7387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42031"/>
    <w:rsid w:val="00C46F67"/>
    <w:rsid w:val="00C74B5C"/>
    <w:rsid w:val="00C8097D"/>
    <w:rsid w:val="00C8604F"/>
    <w:rsid w:val="00C8756D"/>
    <w:rsid w:val="00C90183"/>
    <w:rsid w:val="00CA1915"/>
    <w:rsid w:val="00CC36D6"/>
    <w:rsid w:val="00CD090F"/>
    <w:rsid w:val="00CE20B9"/>
    <w:rsid w:val="00CF44B7"/>
    <w:rsid w:val="00D17A34"/>
    <w:rsid w:val="00D200A5"/>
    <w:rsid w:val="00D24133"/>
    <w:rsid w:val="00D26628"/>
    <w:rsid w:val="00D44173"/>
    <w:rsid w:val="00D56226"/>
    <w:rsid w:val="00D6351B"/>
    <w:rsid w:val="00D70ED1"/>
    <w:rsid w:val="00D76FD7"/>
    <w:rsid w:val="00D814BF"/>
    <w:rsid w:val="00D84DEC"/>
    <w:rsid w:val="00D86FE3"/>
    <w:rsid w:val="00D92B45"/>
    <w:rsid w:val="00D949D1"/>
    <w:rsid w:val="00DA1265"/>
    <w:rsid w:val="00DB15D7"/>
    <w:rsid w:val="00DB4A5E"/>
    <w:rsid w:val="00DB57AC"/>
    <w:rsid w:val="00DC679E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174A"/>
    <w:rsid w:val="00E174C7"/>
    <w:rsid w:val="00E61459"/>
    <w:rsid w:val="00E617D7"/>
    <w:rsid w:val="00E6347F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C68B8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DAE1-B668-410B-B119-29A0B5206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2</cp:revision>
  <cp:lastPrinted>2013-08-09T06:22:00Z</cp:lastPrinted>
  <dcterms:created xsi:type="dcterms:W3CDTF">2018-10-05T14:50:00Z</dcterms:created>
  <dcterms:modified xsi:type="dcterms:W3CDTF">2018-10-05T14:50:00Z</dcterms:modified>
</cp:coreProperties>
</file>